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0B070" w14:textId="1EB03CB5" w:rsidR="00F142A3" w:rsidRPr="000301DA" w:rsidRDefault="00F142A3" w:rsidP="00F142A3">
      <w:pPr>
        <w:pBdr>
          <w:top w:val="nil"/>
          <w:left w:val="nil"/>
          <w:bottom w:val="nil"/>
          <w:right w:val="nil"/>
          <w:between w:val="nil"/>
          <w:bar w:val="nil"/>
        </w:pBdr>
        <w:spacing w:after="0" w:line="240" w:lineRule="auto"/>
        <w:ind w:left="1702" w:firstLine="708"/>
        <w:jc w:val="both"/>
        <w:rPr>
          <w:rFonts w:ascii="Times New Roman" w:eastAsia="Times New Roman" w:hAnsi="Times New Roman" w:cs="Times New Roman"/>
          <w:i/>
          <w:iCs/>
          <w:sz w:val="24"/>
          <w:szCs w:val="24"/>
        </w:rPr>
      </w:pPr>
      <w:r>
        <w:rPr>
          <w:rFonts w:ascii="Times New Roman" w:hAnsi="Times New Roman"/>
          <w:i/>
          <w:sz w:val="24"/>
        </w:rPr>
        <w:t>Comunicado de prensa n.º 18</w:t>
      </w:r>
    </w:p>
    <w:p w14:paraId="5F951209" w14:textId="56D757E9" w:rsidR="00D84FB1" w:rsidRPr="00D84FB1" w:rsidRDefault="00D84FB1" w:rsidP="00D84FB1">
      <w:pPr>
        <w:ind w:left="2410"/>
        <w:jc w:val="both"/>
        <w:rPr>
          <w:rFonts w:ascii="Times New Roman" w:hAnsi="Times New Roman" w:cs="Times New Roman"/>
          <w:b/>
          <w:bCs/>
          <w:sz w:val="28"/>
          <w:szCs w:val="28"/>
        </w:rPr>
      </w:pPr>
      <w:r>
        <w:rPr>
          <w:rFonts w:ascii="Times New Roman" w:hAnsi="Times New Roman"/>
          <w:b/>
          <w:sz w:val="28"/>
        </w:rPr>
        <w:t>Máquinas agrícolas: frena el mercado italiano</w:t>
      </w:r>
    </w:p>
    <w:p w14:paraId="17791ACC" w14:textId="1E547750" w:rsidR="00D84FB1" w:rsidRPr="00D84FB1" w:rsidRDefault="00D84FB1" w:rsidP="00D84FB1">
      <w:pPr>
        <w:ind w:left="2410"/>
        <w:jc w:val="both"/>
        <w:rPr>
          <w:rFonts w:ascii="Times New Roman" w:hAnsi="Times New Roman" w:cs="Times New Roman"/>
          <w:b/>
          <w:bCs/>
          <w:i/>
          <w:iCs/>
          <w:sz w:val="24"/>
          <w:szCs w:val="24"/>
        </w:rPr>
      </w:pPr>
      <w:r>
        <w:rPr>
          <w:rFonts w:ascii="Times New Roman" w:hAnsi="Times New Roman"/>
          <w:b/>
          <w:i/>
          <w:sz w:val="24"/>
        </w:rPr>
        <w:t>Durante la rueda de prensa de presentación de EIMA 2026 se han dado a conocer los datos sobre la evolución del mercado italiano en el tercer trimestre. Tras el crecimiento de los primeros meses del año, entre julio y septiembre las ventas de máquinas agrícolas disminuyeron. Influyen las variables económicas y geopolíticas, pero también la crisis climática del verano pasado. Las dificultades coyunturales se ven atenuadas gracias al sistema de incentivos estatales.</w:t>
      </w:r>
    </w:p>
    <w:p w14:paraId="15A5F80A" w14:textId="77777777" w:rsidR="006616A7" w:rsidRDefault="00D84FB1" w:rsidP="00D84FB1">
      <w:pPr>
        <w:ind w:left="2410"/>
        <w:jc w:val="both"/>
        <w:rPr>
          <w:rFonts w:ascii="Times New Roman" w:hAnsi="Times New Roman"/>
          <w:sz w:val="24"/>
        </w:rPr>
      </w:pPr>
      <w:r>
        <w:rPr>
          <w:rFonts w:ascii="Times New Roman" w:hAnsi="Times New Roman"/>
          <w:sz w:val="24"/>
        </w:rPr>
        <w:t>Los datos sobre las ventas de máquinas agrícolas en el periodo comprendido entre enero y septiembre, elaborados por FederUnacoma a partir de los registros proporcionados por el Ministerio de Transportes, muestran una evolución irregular a lo largo del año. De hecho, el 2026 empezó bajo el signo del crecimiento, confirmando la tendencia al alza de 2025, impulsada por las ayudas otorgadas por el Gobierno, pero en los meses siguientes la tendencia se invirtió. La inestabilidad geopolítica y el repunte de la inflación, sumados a la crisis climática que se produjo a finales de primavera y durante el verano, han perjudicado a las empresas agrícolas y han frenado su disposición a invertir en la compra de máquinas nuevas. Este es el análisis ofrecido por Mariateresa Maschio, presidenta de FederUnacoma (la federación que agrupa a los fabricantes de maquinaria agrícola dentro de Confindustria), en la rueda de prensa de presentación de la 47.ª edición de EIMA I</w:t>
      </w:r>
      <w:r w:rsidR="006616A7">
        <w:rPr>
          <w:rFonts w:ascii="Times New Roman" w:hAnsi="Times New Roman"/>
          <w:sz w:val="24"/>
        </w:rPr>
        <w:t>nternational.</w:t>
      </w:r>
    </w:p>
    <w:p w14:paraId="03821EC8" w14:textId="77777777" w:rsidR="006616A7" w:rsidRDefault="00D84FB1" w:rsidP="006616A7">
      <w:pPr>
        <w:ind w:left="2410"/>
        <w:jc w:val="both"/>
        <w:rPr>
          <w:rFonts w:ascii="Times New Roman" w:hAnsi="Times New Roman"/>
          <w:sz w:val="24"/>
        </w:rPr>
      </w:pPr>
      <w:r>
        <w:rPr>
          <w:rFonts w:ascii="Times New Roman" w:hAnsi="Times New Roman"/>
          <w:sz w:val="24"/>
        </w:rPr>
        <w:t>Durante el acto, que ha tenido lugar esta mañana en Roma, en el Ministerio de Agricultura, Soberanía Alimentaria y Bosques, y que ha contado con la presencia del ministro Francesco Lollobrigida, del presidente de CREA, Andrea Rocchi, y de la directora general de la federación, Simona Rapastella, la presidenta Maschio ha hecho balance de la evolución del mercado italiano en el tercer trimestre del año. En el periodo comprendido entre julio y septiembre —ha destacado—, se ha registrado un descenso en todos los principales tipos de máquinas. En comparación con el mismo periodo de 2025, los tractores pierden un 13,8</w:t>
      </w:r>
      <w:r w:rsidR="006616A7">
        <w:rPr>
          <w:rFonts w:ascii="Times New Roman" w:hAnsi="Times New Roman"/>
          <w:sz w:val="24"/>
        </w:rPr>
        <w:t> </w:t>
      </w:r>
      <w:r>
        <w:rPr>
          <w:rFonts w:ascii="Times New Roman" w:hAnsi="Times New Roman"/>
          <w:sz w:val="24"/>
        </w:rPr>
        <w:t>%, las cosechadoras un 37,5</w:t>
      </w:r>
      <w:r w:rsidR="006616A7">
        <w:rPr>
          <w:rFonts w:ascii="Times New Roman" w:hAnsi="Times New Roman"/>
          <w:sz w:val="24"/>
        </w:rPr>
        <w:t> </w:t>
      </w:r>
      <w:r>
        <w:rPr>
          <w:rFonts w:ascii="Times New Roman" w:hAnsi="Times New Roman"/>
          <w:sz w:val="24"/>
        </w:rPr>
        <w:t>%, los transportadores un 18,2</w:t>
      </w:r>
      <w:r w:rsidR="006616A7">
        <w:rPr>
          <w:rFonts w:ascii="Times New Roman" w:hAnsi="Times New Roman"/>
          <w:sz w:val="24"/>
        </w:rPr>
        <w:t> </w:t>
      </w:r>
      <w:r>
        <w:rPr>
          <w:rFonts w:ascii="Times New Roman" w:hAnsi="Times New Roman"/>
          <w:sz w:val="24"/>
        </w:rPr>
        <w:t>%, los manipuladores telescópicos un 16,2</w:t>
      </w:r>
      <w:r w:rsidR="006616A7">
        <w:rPr>
          <w:rFonts w:ascii="Times New Roman" w:hAnsi="Times New Roman"/>
          <w:sz w:val="24"/>
        </w:rPr>
        <w:t> </w:t>
      </w:r>
      <w:r>
        <w:rPr>
          <w:rFonts w:ascii="Times New Roman" w:hAnsi="Times New Roman"/>
          <w:sz w:val="24"/>
        </w:rPr>
        <w:t>% y los remolques un 5,6</w:t>
      </w:r>
      <w:r w:rsidR="006616A7">
        <w:rPr>
          <w:rFonts w:ascii="Times New Roman" w:hAnsi="Times New Roman"/>
          <w:sz w:val="24"/>
        </w:rPr>
        <w:t> </w:t>
      </w:r>
      <w:r>
        <w:rPr>
          <w:rFonts w:ascii="Times New Roman" w:hAnsi="Times New Roman"/>
          <w:sz w:val="24"/>
        </w:rPr>
        <w:t>%. Por lo tanto, el empeoramiento de la situación se refleja en el balance global de los nueve meses. Entre enero y septiembre, los tractores, con un total de 12.290 unidades vendidas, registran un descenso del 3,3 %; los transportadores, del 11,4 %, con 542 unidades; y los remolques, del 6,1 %, con 5.685 máquinas matriculadas. A pesar de las fuertes caídas registradas en verano, las cosechadoras siguen presentando cifras positivas (+12,4 %, con 235 nuevas matriculaciones), al igual que los manipuladores telescópicos, que mantienen un crecimiento del 9,3 % con 916 unidades, aunque los incrementos se han reducido a la mitad con respecto a los registrados a principios de año. En cualquier caso, el impacto de la coyuntura desfavorable se ha visto mitigado gracias al sistema</w:t>
      </w:r>
    </w:p>
    <w:p w14:paraId="03D423BB" w14:textId="77777777" w:rsidR="006616A7" w:rsidRDefault="006616A7">
      <w:pPr>
        <w:rPr>
          <w:rFonts w:ascii="Times New Roman" w:hAnsi="Times New Roman"/>
          <w:sz w:val="24"/>
        </w:rPr>
      </w:pPr>
      <w:r>
        <w:rPr>
          <w:rFonts w:ascii="Times New Roman" w:hAnsi="Times New Roman"/>
          <w:sz w:val="24"/>
        </w:rPr>
        <w:br w:type="page"/>
      </w:r>
    </w:p>
    <w:p w14:paraId="5CC3D1BB" w14:textId="7C6B81CA" w:rsidR="003F12A8" w:rsidRPr="006616A7" w:rsidRDefault="00D84FB1" w:rsidP="006616A7">
      <w:pPr>
        <w:ind w:left="2410"/>
        <w:jc w:val="both"/>
        <w:rPr>
          <w:rFonts w:ascii="Times New Roman" w:hAnsi="Times New Roman"/>
          <w:sz w:val="24"/>
        </w:rPr>
      </w:pPr>
      <w:r>
        <w:rPr>
          <w:rFonts w:ascii="Times New Roman" w:hAnsi="Times New Roman"/>
          <w:sz w:val="24"/>
        </w:rPr>
        <w:lastRenderedPageBreak/>
        <w:t xml:space="preserve">de ayudas públicas, que —como se ha recordado en la rueda de prensa— ofrece numerosas herramientas (por ejemplo, el Fondo de Innovación ISMEA o las subvenciones del INAIL) para sustituir las máquinas antiguas por tecnologías de última generación. </w:t>
      </w:r>
    </w:p>
    <w:p w14:paraId="1C05C79F" w14:textId="10B50D8B" w:rsidR="00D84FB1" w:rsidRPr="00D84FB1" w:rsidRDefault="00D84FB1" w:rsidP="00D84FB1">
      <w:pPr>
        <w:ind w:left="2410"/>
        <w:jc w:val="both"/>
        <w:rPr>
          <w:rFonts w:ascii="Times New Roman" w:hAnsi="Times New Roman" w:cs="Times New Roman"/>
          <w:sz w:val="24"/>
          <w:szCs w:val="24"/>
        </w:rPr>
      </w:pPr>
      <w:r>
        <w:rPr>
          <w:rFonts w:ascii="Times New Roman" w:hAnsi="Times New Roman"/>
          <w:sz w:val="24"/>
        </w:rPr>
        <w:t>“La intervención pública desempeña un papel estratégico —ha explicado Mariateresa Maschio— tanto porque apoya a las empresas agrícolas en un momento poco favorable para invertir en maquinaria avanzada, como porque fomenta el interés por la innovación y la modernización progresiva del parque de máquinas con estándares más elevados”. Desde esta perspectiva, la feria EIMA es el lugar ideal no solo para explorar nuevas oportunidades de negocio, sino también para diseñar políticas específicas que apoyen al sector, incentiven el mercado y faciliten el acceso a contextos comerciales más prometedores.</w:t>
      </w:r>
    </w:p>
    <w:p w14:paraId="30A8708D" w14:textId="3D81068C" w:rsidR="00AF3D84" w:rsidRDefault="00032732" w:rsidP="00032732">
      <w:pPr>
        <w:pBdr>
          <w:top w:val="nil"/>
          <w:left w:val="nil"/>
          <w:bottom w:val="nil"/>
          <w:right w:val="nil"/>
          <w:between w:val="nil"/>
          <w:bar w:val="nil"/>
        </w:pBdr>
        <w:spacing w:line="240" w:lineRule="auto"/>
        <w:ind w:left="1702" w:right="-285" w:firstLine="708"/>
        <w:jc w:val="both"/>
        <w:rPr>
          <w:rFonts w:ascii="Times New Roman" w:eastAsia="Times New Roman" w:hAnsi="Times New Roman" w:cs="Times New Roman"/>
          <w:b/>
          <w:bCs/>
          <w:sz w:val="24"/>
          <w:szCs w:val="24"/>
        </w:rPr>
      </w:pPr>
      <w:r>
        <w:rPr>
          <w:rFonts w:ascii="Times New Roman" w:hAnsi="Times New Roman"/>
          <w:b/>
          <w:sz w:val="24"/>
        </w:rPr>
        <w:t>Roma, 13 de octubre de 2026</w:t>
      </w:r>
      <w:bookmarkStart w:id="0" w:name="_GoBack"/>
      <w:bookmarkEnd w:id="0"/>
    </w:p>
    <w:p w14:paraId="306CDB78" w14:textId="77777777" w:rsidR="002949D3" w:rsidRDefault="002949D3" w:rsidP="00032732">
      <w:pPr>
        <w:pBdr>
          <w:top w:val="nil"/>
          <w:left w:val="nil"/>
          <w:bottom w:val="nil"/>
          <w:right w:val="nil"/>
          <w:between w:val="nil"/>
          <w:bar w:val="nil"/>
        </w:pBdr>
        <w:spacing w:line="240" w:lineRule="auto"/>
        <w:ind w:left="1702" w:right="-285" w:firstLine="708"/>
        <w:jc w:val="both"/>
        <w:rPr>
          <w:rFonts w:ascii="Times New Roman" w:eastAsia="Times New Roman" w:hAnsi="Times New Roman" w:cs="Times New Roman"/>
          <w:b/>
          <w:bCs/>
          <w:sz w:val="24"/>
          <w:szCs w:val="24"/>
          <w:lang w:eastAsia="it-IT"/>
        </w:rPr>
      </w:pPr>
    </w:p>
    <w:p w14:paraId="4E91E4F7" w14:textId="63DFE8C7" w:rsidR="002949D3" w:rsidRPr="00D84FB1" w:rsidRDefault="002949D3" w:rsidP="00032732">
      <w:pPr>
        <w:pBdr>
          <w:top w:val="nil"/>
          <w:left w:val="nil"/>
          <w:bottom w:val="nil"/>
          <w:right w:val="nil"/>
          <w:between w:val="nil"/>
          <w:bar w:val="nil"/>
        </w:pBdr>
        <w:spacing w:line="240" w:lineRule="auto"/>
        <w:ind w:left="1702" w:right="-285" w:firstLine="708"/>
        <w:jc w:val="both"/>
        <w:rPr>
          <w:rFonts w:ascii="Times New Roman" w:eastAsia="Times New Roman" w:hAnsi="Times New Roman" w:cs="Times New Roman"/>
          <w:b/>
          <w:bCs/>
          <w:sz w:val="24"/>
          <w:szCs w:val="24"/>
        </w:rPr>
      </w:pPr>
      <w:r>
        <w:rPr>
          <w:rFonts w:ascii="Times New Roman" w:hAnsi="Times New Roman"/>
          <w:b/>
          <w:noProof/>
          <w:sz w:val="24"/>
          <w:lang w:eastAsia="es-ES"/>
        </w:rPr>
        <w:drawing>
          <wp:inline distT="0" distB="0" distL="0" distR="0" wp14:anchorId="060254D9" wp14:editId="59760AC6">
            <wp:extent cx="4691062" cy="3785752"/>
            <wp:effectExtent l="0" t="0" r="0" b="5715"/>
            <wp:docPr id="95123181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09406" cy="3800556"/>
                    </a:xfrm>
                    <a:prstGeom prst="rect">
                      <a:avLst/>
                    </a:prstGeom>
                    <a:noFill/>
                    <a:ln>
                      <a:noFill/>
                    </a:ln>
                  </pic:spPr>
                </pic:pic>
              </a:graphicData>
            </a:graphic>
          </wp:inline>
        </w:drawing>
      </w:r>
    </w:p>
    <w:sectPr w:rsidR="002949D3" w:rsidRPr="00D84FB1" w:rsidSect="00C823A0">
      <w:headerReference w:type="default" r:id="rId7"/>
      <w:footerReference w:type="default" r:id="rId8"/>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7EE43" w14:textId="77777777" w:rsidR="00D72004" w:rsidRDefault="00D72004">
      <w:pPr>
        <w:spacing w:after="0" w:line="240" w:lineRule="auto"/>
      </w:pPr>
      <w:r>
        <w:separator/>
      </w:r>
    </w:p>
  </w:endnote>
  <w:endnote w:type="continuationSeparator" w:id="0">
    <w:p w14:paraId="10143AC0" w14:textId="77777777" w:rsidR="00D72004" w:rsidRDefault="00D72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5371124"/>
      <w:docPartObj>
        <w:docPartGallery w:val="Page Numbers (Bottom of Page)"/>
        <w:docPartUnique/>
      </w:docPartObj>
    </w:sdtPr>
    <w:sdtEndPr/>
    <w:sdtContent>
      <w:p w14:paraId="2C424ECB" w14:textId="77777777" w:rsidR="000E53AF" w:rsidRDefault="002803A2">
        <w:pPr>
          <w:pStyle w:val="Piedepgina"/>
          <w:jc w:val="right"/>
        </w:pPr>
        <w:r>
          <w:fldChar w:fldCharType="begin"/>
        </w:r>
        <w:r w:rsidR="00692D3D">
          <w:instrText>PAGE   \* MERGEFORMAT</w:instrText>
        </w:r>
        <w:r>
          <w:fldChar w:fldCharType="separate"/>
        </w:r>
        <w:r w:rsidR="00F85BFC">
          <w:rPr>
            <w:noProof/>
          </w:rPr>
          <w:t>2</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DCC6F4" w14:textId="77777777" w:rsidR="00D72004" w:rsidRDefault="00D72004">
      <w:pPr>
        <w:spacing w:after="0" w:line="240" w:lineRule="auto"/>
      </w:pPr>
      <w:r>
        <w:separator/>
      </w:r>
    </w:p>
  </w:footnote>
  <w:footnote w:type="continuationSeparator" w:id="0">
    <w:p w14:paraId="64AC7ACB" w14:textId="77777777" w:rsidR="00D72004" w:rsidRDefault="00D720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24362"/>
    <w:rsid w:val="000301DA"/>
    <w:rsid w:val="00032732"/>
    <w:rsid w:val="00077B9F"/>
    <w:rsid w:val="000859E7"/>
    <w:rsid w:val="000A6A98"/>
    <w:rsid w:val="000C4409"/>
    <w:rsid w:val="000D6EA3"/>
    <w:rsid w:val="000E0195"/>
    <w:rsid w:val="000E53AF"/>
    <w:rsid w:val="00117F0C"/>
    <w:rsid w:val="00132537"/>
    <w:rsid w:val="00150E3E"/>
    <w:rsid w:val="001A523F"/>
    <w:rsid w:val="002058DE"/>
    <w:rsid w:val="00212BEB"/>
    <w:rsid w:val="002432BE"/>
    <w:rsid w:val="00275B9C"/>
    <w:rsid w:val="002803A2"/>
    <w:rsid w:val="00282300"/>
    <w:rsid w:val="00291A0E"/>
    <w:rsid w:val="002949D3"/>
    <w:rsid w:val="00297040"/>
    <w:rsid w:val="002A2E24"/>
    <w:rsid w:val="002B2D86"/>
    <w:rsid w:val="002D4418"/>
    <w:rsid w:val="002F0D75"/>
    <w:rsid w:val="00302C23"/>
    <w:rsid w:val="0030445C"/>
    <w:rsid w:val="00310B45"/>
    <w:rsid w:val="00323399"/>
    <w:rsid w:val="00335B2C"/>
    <w:rsid w:val="0035717D"/>
    <w:rsid w:val="00357578"/>
    <w:rsid w:val="003668B9"/>
    <w:rsid w:val="00394530"/>
    <w:rsid w:val="003F12A8"/>
    <w:rsid w:val="003F2E5D"/>
    <w:rsid w:val="003F6C78"/>
    <w:rsid w:val="0043541E"/>
    <w:rsid w:val="004379F0"/>
    <w:rsid w:val="00446399"/>
    <w:rsid w:val="00476F56"/>
    <w:rsid w:val="004B341F"/>
    <w:rsid w:val="004C655C"/>
    <w:rsid w:val="004E39DD"/>
    <w:rsid w:val="00504AB8"/>
    <w:rsid w:val="005133FD"/>
    <w:rsid w:val="0051366D"/>
    <w:rsid w:val="00590319"/>
    <w:rsid w:val="005A064D"/>
    <w:rsid w:val="005A31FE"/>
    <w:rsid w:val="005B1DD8"/>
    <w:rsid w:val="005D3F28"/>
    <w:rsid w:val="005E2554"/>
    <w:rsid w:val="005F2D34"/>
    <w:rsid w:val="0060610C"/>
    <w:rsid w:val="00614574"/>
    <w:rsid w:val="006616A7"/>
    <w:rsid w:val="00677303"/>
    <w:rsid w:val="006913A7"/>
    <w:rsid w:val="00692D3D"/>
    <w:rsid w:val="006974BC"/>
    <w:rsid w:val="006A1669"/>
    <w:rsid w:val="006B135F"/>
    <w:rsid w:val="006B1EEB"/>
    <w:rsid w:val="006D5E48"/>
    <w:rsid w:val="007048B0"/>
    <w:rsid w:val="00735BD4"/>
    <w:rsid w:val="00757C34"/>
    <w:rsid w:val="00762BA7"/>
    <w:rsid w:val="007C6548"/>
    <w:rsid w:val="007C69C9"/>
    <w:rsid w:val="007D332B"/>
    <w:rsid w:val="007E3772"/>
    <w:rsid w:val="007E62E6"/>
    <w:rsid w:val="007F0349"/>
    <w:rsid w:val="00801B1D"/>
    <w:rsid w:val="0080268E"/>
    <w:rsid w:val="00834C87"/>
    <w:rsid w:val="00835DB7"/>
    <w:rsid w:val="008441A6"/>
    <w:rsid w:val="00870E2F"/>
    <w:rsid w:val="0087110F"/>
    <w:rsid w:val="00884CA8"/>
    <w:rsid w:val="009066B1"/>
    <w:rsid w:val="009130D7"/>
    <w:rsid w:val="00920778"/>
    <w:rsid w:val="00931EDF"/>
    <w:rsid w:val="0093445D"/>
    <w:rsid w:val="00935306"/>
    <w:rsid w:val="0094410D"/>
    <w:rsid w:val="009766F1"/>
    <w:rsid w:val="00977697"/>
    <w:rsid w:val="00992D09"/>
    <w:rsid w:val="009934BB"/>
    <w:rsid w:val="00993B7D"/>
    <w:rsid w:val="00995E10"/>
    <w:rsid w:val="00995FE3"/>
    <w:rsid w:val="009C0530"/>
    <w:rsid w:val="009F4CC8"/>
    <w:rsid w:val="009F5A38"/>
    <w:rsid w:val="00A21F2E"/>
    <w:rsid w:val="00A67752"/>
    <w:rsid w:val="00A716A1"/>
    <w:rsid w:val="00A773E1"/>
    <w:rsid w:val="00A85568"/>
    <w:rsid w:val="00A90659"/>
    <w:rsid w:val="00AE4288"/>
    <w:rsid w:val="00AF2708"/>
    <w:rsid w:val="00AF3D84"/>
    <w:rsid w:val="00B15B8C"/>
    <w:rsid w:val="00B16D1F"/>
    <w:rsid w:val="00B32A20"/>
    <w:rsid w:val="00B37CFC"/>
    <w:rsid w:val="00B4269B"/>
    <w:rsid w:val="00B45D9E"/>
    <w:rsid w:val="00B748EC"/>
    <w:rsid w:val="00B91114"/>
    <w:rsid w:val="00BC08A6"/>
    <w:rsid w:val="00BC65DE"/>
    <w:rsid w:val="00BD5EB0"/>
    <w:rsid w:val="00BE5595"/>
    <w:rsid w:val="00BF3FAB"/>
    <w:rsid w:val="00C165B3"/>
    <w:rsid w:val="00C25B69"/>
    <w:rsid w:val="00C310D4"/>
    <w:rsid w:val="00C823A0"/>
    <w:rsid w:val="00C8332D"/>
    <w:rsid w:val="00C851E2"/>
    <w:rsid w:val="00C921BF"/>
    <w:rsid w:val="00CB63E4"/>
    <w:rsid w:val="00CC36F9"/>
    <w:rsid w:val="00CD0E0F"/>
    <w:rsid w:val="00CD32D5"/>
    <w:rsid w:val="00CD6230"/>
    <w:rsid w:val="00CF1D0B"/>
    <w:rsid w:val="00D16473"/>
    <w:rsid w:val="00D21CAB"/>
    <w:rsid w:val="00D2563B"/>
    <w:rsid w:val="00D368BA"/>
    <w:rsid w:val="00D566E4"/>
    <w:rsid w:val="00D67FCE"/>
    <w:rsid w:val="00D72004"/>
    <w:rsid w:val="00D84FB1"/>
    <w:rsid w:val="00DA1F14"/>
    <w:rsid w:val="00DD0832"/>
    <w:rsid w:val="00DD0B6A"/>
    <w:rsid w:val="00E35683"/>
    <w:rsid w:val="00E43E7A"/>
    <w:rsid w:val="00E6169C"/>
    <w:rsid w:val="00E65BDF"/>
    <w:rsid w:val="00E76B0C"/>
    <w:rsid w:val="00E80260"/>
    <w:rsid w:val="00F030A6"/>
    <w:rsid w:val="00F04658"/>
    <w:rsid w:val="00F04861"/>
    <w:rsid w:val="00F142A3"/>
    <w:rsid w:val="00F244D2"/>
    <w:rsid w:val="00F54AC7"/>
    <w:rsid w:val="00F85BFC"/>
    <w:rsid w:val="00FA34C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FB876665-D58F-429C-AE8A-A94D3F8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 w:type="character" w:styleId="Hipervnculo">
    <w:name w:val="Hyperlink"/>
    <w:basedOn w:val="Fuentedeprrafopredeter"/>
    <w:uiPriority w:val="99"/>
    <w:unhideWhenUsed/>
    <w:rsid w:val="0094410D"/>
    <w:rPr>
      <w:color w:val="0563C1" w:themeColor="hyperlink"/>
      <w:u w:val="single"/>
    </w:rPr>
  </w:style>
  <w:style w:type="character" w:customStyle="1" w:styleId="UnresolvedMention">
    <w:name w:val="Unresolved Mention"/>
    <w:basedOn w:val="Fuentedeprrafopredeter"/>
    <w:uiPriority w:val="99"/>
    <w:semiHidden/>
    <w:unhideWhenUsed/>
    <w:rsid w:val="00944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230313313">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1774663098">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604</Words>
  <Characters>3326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Girolamo Rossi</dc:creator>
  <cp:keywords/>
  <dc:description/>
  <cp:lastModifiedBy>Cuenta Microsoft</cp:lastModifiedBy>
  <cp:revision>3</cp:revision>
  <dcterms:created xsi:type="dcterms:W3CDTF">2026-10-15T14:41:00Z</dcterms:created>
  <dcterms:modified xsi:type="dcterms:W3CDTF">2026-10-15T14:41:00Z</dcterms:modified>
</cp:coreProperties>
</file>